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Противодействие 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Противодействие коррупции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Бухгалтерскаяотчетность</w:t>
            </w:r>
            <w:br/>
            <w:br/>
            <w:r>
              <w:rPr/>
              <w:t xml:space="preserve">Сведения о доходах</w:t>
            </w:r>
            <w:br/>
            <w:br/>
            <w:r>
              <w:rPr/>
              <w:t xml:space="preserve">Нормативные правовые и иные акты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2025-12-19T05:37:40+03:00</dcterms:created>
  <dcterms:modified xsi:type="dcterms:W3CDTF">2025-12-19T05:37:40+03:00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