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ФСИН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ФСИН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ФСИН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 «О национальных целях и стратегических задачах развитияРоссийской Федерации на период до 2024 года».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команды показали высокий уровень владения мячом. Гостиматча могли наблюдать качественную игру с неожиданными сюжетами.Основное время закончилось со счетом 3:3, поэтому исход матчарешался по итогам серии пенальти, в рамках которой сборная МЧСРоссии одержала победу со счетом 2:0.</w:t>
            </w:r>
            <w:br/>
            <w:br/>
            <w:r>
              <w:rPr/>
              <w:t xml:space="preserve">На товарищеском матче присутствовали директор Департамента кадровойполитики генерал-лейтенант внутренней службы Григорий Мощик,ВрИО начальника Академии ГПС МЧС России полковник внутренней службыМаксим Бедило, начальник Центрального спортивного клуба МЧС РоссииВладислав Филиппов, а также начальник Управления кадров ФСИНгенерал-майор Александр Матвеенко.</w:t>
            </w:r>
            <w:br/>
            <w:br/>
            <w:r>
              <w:rPr/>
              <w:t xml:space="preserve">Видео матча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2026-04-27T08:02:42+03:00</dcterms:created>
  <dcterms:modified xsi:type="dcterms:W3CDTF">2026-04-27T08:02:42+03:00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